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16.png" ContentType="image/png"/>
  <Override PartName="/word/media/rId126.png" ContentType="image/png"/>
  <Override PartName="/word/media/rId12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w:t>
      </w:r>
      <w:r>
        <w:t xml:space="preserve">. Phenotypic plasticity is predicted to evolve when environmental variability is high but predictable and the costs of plasticity are low</w:t>
      </w:r>
      <w:r>
        <w:t xml:space="preserve"> </w:t>
      </w:r>
      <w:r>
        <w:t xml:space="preserve">(Chevin &amp; Hoffmann 2017; Scheiner</w:t>
      </w:r>
      <w:r>
        <w:t xml:space="preserve"> </w:t>
      </w:r>
      <w:r>
        <w:rPr>
          <w:iCs/>
          <w:i/>
        </w:rPr>
        <w:t xml:space="preserve">et al.</w:t>
      </w:r>
      <w:r>
        <w:t xml:space="preserve"> </w:t>
      </w:r>
      <w:r>
        <w:t xml:space="preserve">2020)</w:t>
      </w:r>
      <w:r>
        <w:t xml:space="preserve">. Despite this theoretical expectation, empirical support for this prediction is scant [], likely because many organisms can behaviorally adjust micro-habitat selection to offset thermal stress, the costs of plasticity are high</w:t>
      </w:r>
      <w:r>
        <w:t xml:space="preserve"> </w:t>
      </w:r>
      <w:r>
        <w:t xml:space="preserve">(Chevin &amp; Lande 2015)</w:t>
      </w:r>
      <w:r>
        <w:t xml:space="preserve">,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Arguably, reversible forms of phenotypic plasticty, such as acclimitisation and behavioural plasticity, are likely to provide greater potential to buffer populations from climate impacts as responses can be fine-tuned to environments</w:t>
      </w:r>
      <w:r>
        <w:t xml:space="preserve"> </w:t>
      </w:r>
      <w:r>
        <w:t xml:space="preserve">(assuming the costs of plasticty are low –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Change in physiological variability can also inform on the extent to which populations are able to buffer against environmental change</w:t>
      </w:r>
      <w:r>
        <w:t xml:space="preserve"> </w:t>
      </w:r>
      <w:r>
        <w:t xml:space="preserve">(for example, through</w:t>
      </w:r>
      <w:r>
        <w:t xml:space="preserve"> </w:t>
      </w:r>
      <w:r>
        <w:t xml:space="preserve">‘</w:t>
      </w:r>
      <w:r>
        <w:t xml:space="preserve">portfolio effects</w:t>
      </w:r>
      <w:r>
        <w:t xml:space="preserve">’</w:t>
      </w:r>
      <w:r>
        <w:t xml:space="preserve"> </w:t>
      </w:r>
      <w:r>
        <w:t xml:space="preserve">see Schindler</w:t>
      </w:r>
      <w:r>
        <w:t xml:space="preserve"> </w:t>
      </w:r>
      <w:r>
        <w:rPr>
          <w:iCs/>
          <w:i/>
        </w:rPr>
        <w:t xml:space="preserve">et al.</w:t>
      </w:r>
      <w:r>
        <w:t xml:space="preserve"> </w:t>
      </w:r>
      <w:r>
        <w:t xml:space="preserve">2010)</w:t>
      </w:r>
      <w:r>
        <w:t xml:space="preserve">. Decreases in phenotypic variance may also suggest strong stabilising selection or constraints on performance depedning on the trait</w:t>
      </w:r>
      <w:r>
        <w:t xml:space="preserve"> </w:t>
      </w:r>
      <w:r>
        <w:t xml:space="preserve">(Scheiner</w:t>
      </w:r>
      <w:r>
        <w:t xml:space="preserve"> </w:t>
      </w:r>
      <w:r>
        <w:rPr>
          <w:iCs/>
          <w:i/>
        </w:rPr>
        <w:t xml:space="preserve">et al.</w:t>
      </w:r>
      <w:r>
        <w:t xml:space="preserve"> </w:t>
      </w:r>
      <w:r>
        <w:t xml:space="preserve">2020)</w:t>
      </w:r>
      <w:r>
        <w:t xml:space="preserve">. Changes in phenotypic variability can also result in</w:t>
      </w:r>
      <w:r>
        <w:t xml:space="preserve"> </w:t>
      </w:r>
      <w:r>
        <w:t xml:space="preserve">‘</w:t>
      </w:r>
      <w:r>
        <w:t xml:space="preserve">phenotypic drift</w:t>
      </w:r>
      <w:r>
        <w:t xml:space="preserve">’</w:t>
      </w:r>
      <w:r>
        <w:t xml:space="preserve"> </w:t>
      </w:r>
      <w:r>
        <w:t xml:space="preserve">that may result in the loss of important variation relevant for adaptation.</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Here, we use new effect sizes to re-evaluate the degree to which aquatic and terrestrial ectotherms are capable of physiological plasticity. We then expand these effect sizes to comparisons of variance in physiological rates to ask the following questions: 1) How much is variance in physiological rates expected to change, if at all, as temperatures rise?; 2) Are adjustments in physiolgical rates through plasticty larger than changes in variance in physiogical rates across aquatic and terrestrial ectotherms?; 3) Are changes in plasticity or variance in physiological rates impacted by a populations past climate history?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96.81%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1.17% change in variance for freshwater systems (95% CI: -5.37 to 7.24%,</w:t>
      </w:r>
      <w:r>
        <w:t xml:space="preserve"> </w:t>
      </w:r>
      <m:oMath>
        <m:sSub>
          <m:e>
            <m:r>
              <m:t>p</m:t>
            </m:r>
          </m:e>
          <m:sub>
            <m:r>
              <m:t>M</m:t>
            </m:r>
            <m:r>
              <m:t>C</m:t>
            </m:r>
            <m:r>
              <m:t>M</m:t>
            </m:r>
            <m:r>
              <m:t>C</m:t>
            </m:r>
          </m:sub>
        </m:sSub>
      </m:oMath>
      <w:r>
        <w:t xml:space="preserve"> </w:t>
      </w:r>
      <w:r>
        <w:t xml:space="preserve">= 0.65), whereas we expect a 3.44% reduction in variance for marine systems (95% CI: -7.14 to 0.58%,</w:t>
      </w:r>
      <w:r>
        <w:t xml:space="preserve"> </w:t>
      </w:r>
      <m:oMath>
        <m:sSub>
          <m:e>
            <m:r>
              <m:t>p</m:t>
            </m:r>
          </m:e>
          <m:sub>
            <m:r>
              <m:t>M</m:t>
            </m:r>
            <m:r>
              <m:t>C</m:t>
            </m:r>
            <m:r>
              <m:t>M</m:t>
            </m:r>
            <m:r>
              <m:t>C</m:t>
            </m:r>
          </m:sub>
        </m:sSub>
      </m:oMath>
      <w:r>
        <w:t xml:space="preserve"> </w:t>
      </w:r>
      <w:r>
        <w:t xml:space="preserve">= 0.28) and a 12.29% reduction in variance for terrestrial systems (95% CI: -19.53 to -6.22%,</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15" w:name="references"/>
    <w:p>
      <w:pPr>
        <w:pStyle w:val="Heading2"/>
      </w:pPr>
      <w:r>
        <w:t xml:space="preserve">References</w:t>
      </w:r>
    </w:p>
    <w:p>
      <w:pPr>
        <w:pStyle w:val="FirstParagraph"/>
      </w:pPr>
    </w:p>
    <w:bookmarkStart w:id="114"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77"/>
    <w:bookmarkStart w:id="78"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78"/>
    <w:bookmarkStart w:id="79"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79"/>
    <w:bookmarkStart w:id="80"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0"/>
    <w:bookmarkStart w:id="81"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1"/>
    <w:bookmarkStart w:id="82"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2"/>
    <w:bookmarkStart w:id="83"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83"/>
    <w:bookmarkStart w:id="84"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84"/>
    <w:bookmarkStart w:id="8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5"/>
    <w:bookmarkStart w:id="8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6"/>
    <w:bookmarkStart w:id="8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7"/>
    <w:bookmarkStart w:id="88"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8"/>
    <w:bookmarkStart w:id="89"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89"/>
    <w:bookmarkStart w:id="90"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90"/>
    <w:bookmarkStart w:id="91"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91"/>
    <w:bookmarkStart w:id="92"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92"/>
    <w:bookmarkStart w:id="93"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93"/>
    <w:bookmarkStart w:id="94"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94"/>
    <w:bookmarkStart w:id="95"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95"/>
    <w:bookmarkStart w:id="96"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6"/>
    <w:bookmarkStart w:id="97"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7"/>
    <w:bookmarkStart w:id="98"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8"/>
    <w:bookmarkStart w:id="99"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99"/>
    <w:bookmarkStart w:id="100"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00"/>
    <w:bookmarkStart w:id="101"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01"/>
    <w:bookmarkStart w:id="102"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02"/>
    <w:bookmarkStart w:id="103"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03"/>
    <w:bookmarkStart w:id="104"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04"/>
    <w:bookmarkStart w:id="105"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05"/>
    <w:bookmarkStart w:id="106"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06"/>
    <w:bookmarkStart w:id="10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07"/>
    <w:bookmarkStart w:id="10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08"/>
    <w:bookmarkStart w:id="10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09"/>
    <w:bookmarkStart w:id="110"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10"/>
    <w:bookmarkStart w:id="111"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11"/>
    <w:bookmarkStart w:id="112"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12"/>
    <w:bookmarkStart w:id="113"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13"/>
    <w:bookmarkEnd w:id="114"/>
    <w:p>
      <w:pPr>
        <w:pStyle w:val="BodyText"/>
      </w:pPr>
    </w:p>
    <w:bookmarkEnd w:id="115"/>
    <w:bookmarkStart w:id="131" w:name="supplemental-results-and-figures"/>
    <w:p>
      <w:pPr>
        <w:pStyle w:val="Heading2"/>
      </w:pPr>
      <w:r>
        <w:t xml:space="preserve">Supplemental Results and Figures</w:t>
      </w:r>
    </w:p>
    <w:bookmarkStart w:id="120"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19" w:name="fig-s1"/>
          <w:p>
            <w:pPr>
              <w:pStyle w:val="Figure"/>
              <w:jc w:val="center"/>
            </w:pPr>
            <w:r>
              <w:drawing>
                <wp:inline>
                  <wp:extent cx="6680200" cy="4647095"/>
                  <wp:effectExtent b="0" l="0" r="0" t="0"/>
                  <wp:docPr descr="" title="" id="117" name="Picture"/>
                  <a:graphic>
                    <a:graphicData uri="http://schemas.openxmlformats.org/drawingml/2006/picture">
                      <pic:pic>
                        <pic:nvPicPr>
                          <pic:cNvPr descr="ms_files/figure-docx/fig-s1-1.png" id="118" name="Picture"/>
                          <pic:cNvPicPr>
                            <a:picLocks noChangeArrowheads="1" noChangeAspect="1"/>
                          </pic:cNvPicPr>
                        </pic:nvPicPr>
                        <pic:blipFill>
                          <a:blip r:embed="rId116"/>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19"/>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20"/>
    <w:bookmarkStart w:id="125"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24" w:name="fig-s3"/>
          <w:p>
            <w:pPr>
              <w:pStyle w:val="Figure"/>
              <w:jc w:val="center"/>
            </w:pPr>
            <w:r>
              <w:drawing>
                <wp:inline>
                  <wp:extent cx="6680200" cy="2379821"/>
                  <wp:effectExtent b="0" l="0" r="0" t="0"/>
                  <wp:docPr descr="" title="" id="122" name="Picture"/>
                  <a:graphic>
                    <a:graphicData uri="http://schemas.openxmlformats.org/drawingml/2006/picture">
                      <pic:pic>
                        <pic:nvPicPr>
                          <pic:cNvPr descr="ms_files/figure-docx/fig-s3-1.png" id="123" name="Picture"/>
                          <pic:cNvPicPr>
                            <a:picLocks noChangeArrowheads="1" noChangeAspect="1"/>
                          </pic:cNvPicPr>
                        </pic:nvPicPr>
                        <pic:blipFill>
                          <a:blip r:embed="rId121"/>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24"/>
        </w:tc>
      </w:tr>
    </w:tbl>
    <w:bookmarkEnd w:id="125"/>
    <w:bookmarkStart w:id="130"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29" w:name="fig-s2"/>
          <w:p>
            <w:pPr>
              <w:pStyle w:val="Figure"/>
              <w:jc w:val="center"/>
            </w:pPr>
            <w:r>
              <w:drawing>
                <wp:inline>
                  <wp:extent cx="6680200" cy="2788257"/>
                  <wp:effectExtent b="0" l="0" r="0" t="0"/>
                  <wp:docPr descr="" title="" id="127" name="Picture"/>
                  <a:graphic>
                    <a:graphicData uri="http://schemas.openxmlformats.org/drawingml/2006/picture">
                      <pic:pic>
                        <pic:nvPicPr>
                          <pic:cNvPr descr="ms_files/figure-docx/fig-s2-1.png" id="128" name="Picture"/>
                          <pic:cNvPicPr>
                            <a:picLocks noChangeArrowheads="1" noChangeAspect="1"/>
                          </pic:cNvPicPr>
                        </pic:nvPicPr>
                        <pic:blipFill>
                          <a:blip r:embed="rId126"/>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29"/>
        </w:tc>
      </w:tr>
    </w:tbl>
    <w:bookmarkEnd w:id="130"/>
    <w:bookmarkEnd w:id="131"/>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21" Target="media/rId12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2023-12-04T05:15:03Z</dcterms:created>
  <dcterms:modified xsi:type="dcterms:W3CDTF">2023-12-04T05:15:03Z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